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hAnsi="Verdana"/>
          <w:lang w:val="fr-BE"/>
        </w:rPr>
      </w:pP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 xml:space="preserve">La Fédération des </w:t>
      </w:r>
      <w:r w:rsidR="009D4C2B"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>S</w:t>
      </w: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 xml:space="preserve">ervices </w:t>
      </w:r>
      <w:r w:rsidR="009D4C2B"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>S</w:t>
      </w: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>ociaux</w:t>
      </w:r>
      <w:r w:rsidR="009D4C2B"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 xml:space="preserve"> Bicommunautaires</w:t>
      </w: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 xml:space="preserve"> engage un.e chargé.e de mission pour un projet commun avec la Plateforme d’action santé solidarité</w:t>
      </w:r>
    </w:p>
    <w:p w:rsidR="004465F1" w:rsidRPr="00F501F2" w:rsidRDefault="004465F1">
      <w:pPr>
        <w:autoSpaceDE w:val="0"/>
        <w:jc w:val="both"/>
        <w:rPr>
          <w:rFonts w:ascii="Verdana" w:hAnsi="Verdana"/>
          <w:sz w:val="22"/>
          <w:szCs w:val="22"/>
          <w:lang w:val="fr-FR"/>
        </w:rPr>
      </w:pPr>
    </w:p>
    <w:p w:rsidR="004465F1" w:rsidRPr="00F501F2" w:rsidRDefault="00EB0B21">
      <w:pPr>
        <w:autoSpaceDE w:val="0"/>
        <w:jc w:val="both"/>
        <w:rPr>
          <w:rFonts w:ascii="Verdana" w:hAnsi="Verdana"/>
          <w:lang w:val="fr-BE"/>
        </w:rPr>
      </w:pPr>
      <w:r w:rsidRPr="00F501F2">
        <w:rPr>
          <w:rFonts w:ascii="Verdana" w:hAnsi="Verdana"/>
          <w:sz w:val="22"/>
          <w:szCs w:val="22"/>
          <w:lang w:val="fr-FR"/>
        </w:rPr>
        <w:t>La F</w:t>
      </w:r>
      <w:r w:rsidR="009D4C2B" w:rsidRPr="00F501F2">
        <w:rPr>
          <w:rFonts w:ascii="Verdana" w:hAnsi="Verdana"/>
          <w:sz w:val="22"/>
          <w:szCs w:val="22"/>
          <w:lang w:val="fr-FR"/>
        </w:rPr>
        <w:t>d</w:t>
      </w:r>
      <w:r w:rsidRPr="00F501F2">
        <w:rPr>
          <w:rFonts w:ascii="Verdana" w:hAnsi="Verdana"/>
          <w:sz w:val="22"/>
          <w:szCs w:val="22"/>
          <w:lang w:val="fr-FR"/>
        </w:rPr>
        <w:t>SS</w:t>
      </w:r>
      <w:r w:rsidR="009D4C2B" w:rsidRPr="00F501F2">
        <w:rPr>
          <w:rFonts w:ascii="Verdana" w:hAnsi="Verdana"/>
          <w:sz w:val="22"/>
          <w:szCs w:val="22"/>
          <w:lang w:val="fr-FR"/>
        </w:rPr>
        <w:t>B</w:t>
      </w:r>
      <w:r w:rsidRPr="00F501F2">
        <w:rPr>
          <w:rFonts w:ascii="Verdana" w:hAnsi="Verdana"/>
          <w:sz w:val="22"/>
          <w:szCs w:val="22"/>
          <w:lang w:val="fr-FR"/>
        </w:rPr>
        <w:t xml:space="preserve"> et la Plateforme d’Action Santé Solidarité ASBL développent un projet commun visant à :</w:t>
      </w:r>
    </w:p>
    <w:p w:rsidR="004465F1" w:rsidRPr="00F501F2" w:rsidRDefault="00EB0B21">
      <w:pPr>
        <w:pStyle w:val="Paragraphedeliste"/>
        <w:numPr>
          <w:ilvl w:val="0"/>
          <w:numId w:val="2"/>
        </w:numPr>
        <w:autoSpaceDE w:val="0"/>
        <w:spacing w:after="160" w:line="251" w:lineRule="auto"/>
        <w:jc w:val="both"/>
        <w:rPr>
          <w:rFonts w:ascii="Verdana" w:hAnsi="Verdana"/>
          <w:lang w:val="fr-FR"/>
        </w:rPr>
      </w:pPr>
      <w:r w:rsidRPr="00F501F2">
        <w:rPr>
          <w:rFonts w:ascii="Verdana" w:hAnsi="Verdana"/>
          <w:lang w:val="fr-FR"/>
        </w:rPr>
        <w:t>mettre en avant les déterminants de santé comme étant fondamentaux dans l’état de santé de la population ;</w:t>
      </w:r>
    </w:p>
    <w:p w:rsidR="004465F1" w:rsidRPr="00F501F2" w:rsidRDefault="00EB0B21">
      <w:pPr>
        <w:pStyle w:val="Paragraphedeliste"/>
        <w:numPr>
          <w:ilvl w:val="0"/>
          <w:numId w:val="2"/>
        </w:numPr>
        <w:autoSpaceDE w:val="0"/>
        <w:spacing w:after="160" w:line="251" w:lineRule="auto"/>
        <w:jc w:val="both"/>
        <w:rPr>
          <w:rFonts w:ascii="Verdana" w:hAnsi="Verdana"/>
        </w:rPr>
      </w:pPr>
      <w:r w:rsidRPr="00F501F2">
        <w:rPr>
          <w:rFonts w:ascii="Verdana" w:hAnsi="Verdana"/>
          <w:lang w:val="fr-FR"/>
        </w:rPr>
        <w:t>analyser, déconstruire les mécanismes, proposer et défendre des alternatives aux politiques menant à l’inaccessibilité et à l’exclusion de publics larges à un état de santé de qualité, et à des soins de santé adaptés à leurs besoins ;</w:t>
      </w:r>
    </w:p>
    <w:p w:rsidR="004465F1" w:rsidRPr="00F501F2" w:rsidRDefault="00EB0B21">
      <w:pPr>
        <w:pStyle w:val="Paragraphedeliste"/>
        <w:numPr>
          <w:ilvl w:val="0"/>
          <w:numId w:val="2"/>
        </w:numPr>
        <w:autoSpaceDE w:val="0"/>
        <w:spacing w:after="160" w:line="251" w:lineRule="auto"/>
        <w:jc w:val="both"/>
        <w:rPr>
          <w:rFonts w:ascii="Verdana" w:hAnsi="Verdana"/>
          <w:lang w:val="fr-FR"/>
        </w:rPr>
      </w:pPr>
      <w:r w:rsidRPr="00F501F2">
        <w:rPr>
          <w:rFonts w:ascii="Verdana" w:hAnsi="Verdana"/>
          <w:lang w:val="fr-FR"/>
        </w:rPr>
        <w:t>sensibiliser et convaincre les décideurs politiques sur l’impact de ces politiques, et sur les alternatives possibles ;</w:t>
      </w:r>
    </w:p>
    <w:p w:rsidR="004465F1" w:rsidRPr="00F501F2" w:rsidRDefault="00EB0B21">
      <w:pPr>
        <w:pStyle w:val="Paragraphedeliste"/>
        <w:numPr>
          <w:ilvl w:val="0"/>
          <w:numId w:val="2"/>
        </w:numPr>
        <w:autoSpaceDE w:val="0"/>
        <w:spacing w:after="160" w:line="251" w:lineRule="auto"/>
        <w:jc w:val="both"/>
        <w:rPr>
          <w:rFonts w:ascii="Verdana" w:hAnsi="Verdana"/>
          <w:lang w:val="fr-FR"/>
        </w:rPr>
      </w:pPr>
      <w:r w:rsidRPr="00F501F2">
        <w:rPr>
          <w:rFonts w:ascii="Verdana" w:hAnsi="Verdana"/>
          <w:lang w:val="fr-FR"/>
        </w:rPr>
        <w:t>faire converger les intérêts des bénéficiaires avec ceux du personnel du secteur de la santé ;</w:t>
      </w:r>
    </w:p>
    <w:p w:rsidR="004465F1" w:rsidRPr="00F501F2" w:rsidRDefault="00EB0B21">
      <w:pPr>
        <w:pStyle w:val="Paragraphedeliste"/>
        <w:numPr>
          <w:ilvl w:val="0"/>
          <w:numId w:val="2"/>
        </w:numPr>
        <w:autoSpaceDE w:val="0"/>
        <w:spacing w:after="160" w:line="251" w:lineRule="auto"/>
        <w:jc w:val="both"/>
        <w:rPr>
          <w:rFonts w:ascii="Verdana" w:hAnsi="Verdana"/>
          <w:lang w:val="fr-FR"/>
        </w:rPr>
      </w:pPr>
      <w:r w:rsidRPr="00F501F2">
        <w:rPr>
          <w:rFonts w:ascii="Verdana" w:hAnsi="Verdana"/>
          <w:lang w:val="fr-FR"/>
        </w:rPr>
        <w:t>aller chercher l’ « expertise de terrain », aussi bien au niveau des bénéficiaires, des professionnels de santé, des mutuelles, des syndicats, des fédérations, … que des universitaires, des centres études, …</w:t>
      </w:r>
    </w:p>
    <w:p w:rsidR="004465F1" w:rsidRPr="00F501F2" w:rsidRDefault="00EB0B21">
      <w:pPr>
        <w:pStyle w:val="Paragraphedeliste"/>
        <w:numPr>
          <w:ilvl w:val="0"/>
          <w:numId w:val="2"/>
        </w:numPr>
        <w:autoSpaceDE w:val="0"/>
        <w:spacing w:after="160" w:line="251" w:lineRule="auto"/>
        <w:jc w:val="both"/>
        <w:rPr>
          <w:rFonts w:ascii="Verdana" w:hAnsi="Verdana"/>
          <w:lang w:val="fr-FR"/>
        </w:rPr>
      </w:pPr>
      <w:r w:rsidRPr="00F501F2">
        <w:rPr>
          <w:rFonts w:ascii="Verdana" w:hAnsi="Verdana"/>
          <w:lang w:val="fr-FR"/>
        </w:rPr>
        <w:t xml:space="preserve">envisager le décloisonnement des domaines, aussi bien </w:t>
      </w:r>
    </w:p>
    <w:p w:rsidR="004465F1" w:rsidRPr="00F501F2" w:rsidRDefault="00EB0B21">
      <w:pPr>
        <w:pStyle w:val="Paragraphedeliste"/>
        <w:numPr>
          <w:ilvl w:val="1"/>
          <w:numId w:val="2"/>
        </w:numPr>
        <w:autoSpaceDE w:val="0"/>
        <w:spacing w:after="160" w:line="251" w:lineRule="auto"/>
        <w:jc w:val="both"/>
        <w:rPr>
          <w:rFonts w:ascii="Verdana" w:hAnsi="Verdana"/>
        </w:rPr>
      </w:pPr>
      <w:r w:rsidRPr="00F501F2">
        <w:rPr>
          <w:rFonts w:ascii="Verdana" w:hAnsi="Verdana"/>
          <w:lang w:val="fr-FR"/>
        </w:rPr>
        <w:t>au niveau horizontal (soins de santé, prévention, 1</w:t>
      </w:r>
      <w:r w:rsidRPr="00F501F2">
        <w:rPr>
          <w:rFonts w:ascii="Verdana" w:hAnsi="Verdana"/>
          <w:vertAlign w:val="superscript"/>
          <w:lang w:val="fr-FR"/>
        </w:rPr>
        <w:t>ière</w:t>
      </w:r>
      <w:r w:rsidRPr="00F501F2">
        <w:rPr>
          <w:rFonts w:ascii="Verdana" w:hAnsi="Verdana"/>
          <w:lang w:val="fr-FR"/>
        </w:rPr>
        <w:t xml:space="preserve"> ligne, santé communautaire, santé mentale, médicaments, conditions de travail, environnement, genre, ….)</w:t>
      </w:r>
    </w:p>
    <w:p w:rsidR="004465F1" w:rsidRPr="00F501F2" w:rsidRDefault="00EB0B21">
      <w:pPr>
        <w:pStyle w:val="Paragraphedeliste"/>
        <w:numPr>
          <w:ilvl w:val="1"/>
          <w:numId w:val="2"/>
        </w:numPr>
        <w:autoSpaceDE w:val="0"/>
        <w:spacing w:after="160" w:line="251" w:lineRule="auto"/>
        <w:jc w:val="both"/>
        <w:rPr>
          <w:rFonts w:ascii="Verdana" w:hAnsi="Verdana"/>
          <w:lang w:val="fr-FR"/>
        </w:rPr>
      </w:pPr>
      <w:r w:rsidRPr="00F501F2">
        <w:rPr>
          <w:rFonts w:ascii="Verdana" w:hAnsi="Verdana"/>
          <w:lang w:val="fr-FR"/>
        </w:rPr>
        <w:t>qu’au niveau vertical : des quartiers jusqu’au niveau mondial, en passant par les communes, les Régions, le Fédéral et l’Europe.</w:t>
      </w:r>
    </w:p>
    <w:p w:rsidR="004465F1" w:rsidRPr="00F501F2" w:rsidRDefault="00EB0B21">
      <w:pPr>
        <w:autoSpaceDE w:val="0"/>
        <w:jc w:val="both"/>
        <w:rPr>
          <w:rFonts w:ascii="Verdana" w:hAnsi="Verdana"/>
          <w:b/>
          <w:sz w:val="22"/>
          <w:szCs w:val="22"/>
          <w:lang w:val="fr-FR"/>
        </w:rPr>
      </w:pPr>
      <w:r w:rsidRPr="00F501F2">
        <w:rPr>
          <w:rFonts w:ascii="Verdana" w:hAnsi="Verdana"/>
          <w:b/>
          <w:sz w:val="22"/>
          <w:szCs w:val="22"/>
          <w:lang w:val="fr-FR"/>
        </w:rPr>
        <w:t xml:space="preserve">La FdSSB engage un.e chargé.e de missions pour soutenir ce projet commun. </w:t>
      </w:r>
    </w:p>
    <w:p w:rsidR="004465F1" w:rsidRPr="00F501F2" w:rsidRDefault="004465F1">
      <w:pPr>
        <w:autoSpaceDE w:val="0"/>
        <w:jc w:val="both"/>
        <w:rPr>
          <w:rFonts w:ascii="Verdana" w:hAnsi="Verdana"/>
          <w:b/>
          <w:sz w:val="22"/>
          <w:szCs w:val="22"/>
          <w:lang w:val="fr-FR"/>
        </w:rPr>
      </w:pPr>
    </w:p>
    <w:p w:rsidR="004465F1" w:rsidRPr="00F501F2" w:rsidRDefault="00EB0B21">
      <w:pPr>
        <w:autoSpaceDE w:val="0"/>
        <w:spacing w:line="288" w:lineRule="auto"/>
        <w:jc w:val="both"/>
        <w:rPr>
          <w:rFonts w:ascii="Verdana" w:hAnsi="Verdana"/>
          <w:lang w:val="fr-BE"/>
        </w:rPr>
      </w:pPr>
      <w:r w:rsidRPr="00F501F2">
        <w:rPr>
          <w:rFonts w:ascii="Verdana" w:hAnsi="Verdana"/>
          <w:sz w:val="22"/>
          <w:szCs w:val="22"/>
          <w:lang w:val="fr-FR"/>
        </w:rPr>
        <w:t>Le chargé de mission soutiendra le projet par divers t</w:t>
      </w:r>
      <w:r w:rsidR="009D4C2B" w:rsidRPr="00F501F2">
        <w:rPr>
          <w:rFonts w:ascii="Verdana" w:hAnsi="Verdana"/>
          <w:sz w:val="22"/>
          <w:szCs w:val="22"/>
          <w:lang w:val="fr-FR"/>
        </w:rPr>
        <w:t>â</w:t>
      </w:r>
      <w:r w:rsidRPr="00F501F2">
        <w:rPr>
          <w:rFonts w:ascii="Verdana" w:hAnsi="Verdana"/>
          <w:sz w:val="22"/>
          <w:szCs w:val="22"/>
          <w:lang w:val="fr-FR"/>
        </w:rPr>
        <w:t xml:space="preserve">ches de coordination, réseautage, rédaction, organisation d’événements et d’actions publiques, ainsi que diverses tâches administratives. </w:t>
      </w:r>
    </w:p>
    <w:p w:rsidR="004465F1" w:rsidRPr="00F501F2" w:rsidRDefault="004465F1">
      <w:pPr>
        <w:autoSpaceDE w:val="0"/>
        <w:jc w:val="both"/>
        <w:rPr>
          <w:rFonts w:ascii="Verdana" w:hAnsi="Verdana"/>
          <w:sz w:val="22"/>
          <w:szCs w:val="22"/>
          <w:lang w:val="fr-FR"/>
        </w:rPr>
      </w:pPr>
    </w:p>
    <w:p w:rsidR="004465F1" w:rsidRPr="00F501F2" w:rsidRDefault="00EB0B21">
      <w:pPr>
        <w:autoSpaceDE w:val="0"/>
        <w:jc w:val="both"/>
        <w:rPr>
          <w:rFonts w:ascii="Verdana" w:hAnsi="Verdana"/>
          <w:b/>
          <w:sz w:val="22"/>
          <w:szCs w:val="22"/>
          <w:lang w:val="fr-FR"/>
        </w:rPr>
      </w:pPr>
      <w:r w:rsidRPr="00F501F2">
        <w:rPr>
          <w:rFonts w:ascii="Verdana" w:hAnsi="Verdana"/>
          <w:b/>
          <w:sz w:val="22"/>
          <w:szCs w:val="22"/>
          <w:lang w:val="fr-FR"/>
        </w:rPr>
        <w:t>Notamment, le-la chargé.e de missions se chargera de:</w:t>
      </w:r>
    </w:p>
    <w:p w:rsidR="004465F1" w:rsidRPr="00F501F2" w:rsidRDefault="004465F1">
      <w:pPr>
        <w:pStyle w:val="Standard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</w:p>
    <w:p w:rsidR="004465F1" w:rsidRPr="00F501F2" w:rsidRDefault="00EB0B21">
      <w:pPr>
        <w:pStyle w:val="Standard"/>
        <w:numPr>
          <w:ilvl w:val="0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>Coordination et suivi de groupes de travail : préparation de réunions, organisation d'activités et évènements divers et en assurer le suivi (logistique, finances, contenu), rédaction d’articles et rapports</w:t>
      </w:r>
    </w:p>
    <w:p w:rsidR="004465F1" w:rsidRPr="00F501F2" w:rsidRDefault="00EB0B21">
      <w:pPr>
        <w:pStyle w:val="Standard"/>
        <w:numPr>
          <w:ilvl w:val="1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 xml:space="preserve">Groupe de travail « Travail et Santé » (le travail comme facteur déterminant de la santé); </w:t>
      </w:r>
    </w:p>
    <w:p w:rsidR="004465F1" w:rsidRPr="00F501F2" w:rsidRDefault="00EB0B21">
      <w:pPr>
        <w:pStyle w:val="Standard"/>
        <w:numPr>
          <w:ilvl w:val="1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>Groupe de travail « Alternatives pour le système de santé » : avec des acteurs de divers horizons, ce GT construit les balises de la transformation du système de santé;</w:t>
      </w:r>
    </w:p>
    <w:p w:rsidR="004465F1" w:rsidRPr="00F501F2" w:rsidRDefault="00EB0B21">
      <w:pPr>
        <w:pStyle w:val="Standard"/>
        <w:numPr>
          <w:ilvl w:val="0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 xml:space="preserve">Communication interne et externe, et relations avec les membres et partenaires : réception et dispatching des nouvelles demandes, mise à jour des bases de données membres, site internet, etc </w:t>
      </w:r>
    </w:p>
    <w:p w:rsidR="004465F1" w:rsidRPr="00F501F2" w:rsidRDefault="00EB0B21">
      <w:pPr>
        <w:pStyle w:val="Standard"/>
        <w:numPr>
          <w:ilvl w:val="0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lastRenderedPageBreak/>
        <w:t xml:space="preserve">Liens avec les instances des 2 asbl </w:t>
      </w:r>
    </w:p>
    <w:p w:rsidR="004465F1" w:rsidRPr="00F501F2" w:rsidRDefault="00EB0B21">
      <w:pPr>
        <w:pStyle w:val="Standard"/>
        <w:numPr>
          <w:ilvl w:val="0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>Contribu</w:t>
      </w:r>
      <w:r w:rsidR="009D4C2B"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>tion</w:t>
      </w: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 xml:space="preserve"> à la gestion administrative et budgétaire de la PASS</w:t>
      </w:r>
    </w:p>
    <w:p w:rsidR="004465F1" w:rsidRPr="00F501F2" w:rsidRDefault="00EB0B21">
      <w:pPr>
        <w:pStyle w:val="Standard"/>
        <w:numPr>
          <w:ilvl w:val="0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 xml:space="preserve">Représentation du projet là où cela s’avère nécessaire </w:t>
      </w:r>
    </w:p>
    <w:p w:rsidR="004465F1" w:rsidRPr="00F501F2" w:rsidRDefault="00EB0B21">
      <w:pPr>
        <w:pStyle w:val="Standard"/>
        <w:numPr>
          <w:ilvl w:val="0"/>
          <w:numId w:val="3"/>
        </w:numPr>
        <w:spacing w:line="288" w:lineRule="auto"/>
        <w:jc w:val="both"/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</w:pP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>Collabor</w:t>
      </w:r>
      <w:r w:rsidR="009D4C2B"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>ation</w:t>
      </w:r>
      <w:r w:rsidRPr="00F501F2">
        <w:rPr>
          <w:rFonts w:ascii="Verdana" w:eastAsia="DejaVu Sans" w:hAnsi="Verdana" w:cs="Luxi Sans"/>
          <w:bCs/>
          <w:color w:val="000000"/>
          <w:sz w:val="22"/>
          <w:szCs w:val="22"/>
          <w:lang w:val="fr-BE"/>
        </w:rPr>
        <w:t xml:space="preserve"> avec les responsables des autres groupes de travail de la Plate-forme: Approche locale et globale de la santé (Ensemble pour la santé); Europe &amp; Santé (commercialisation); Déterminants internationaux de la santé</w:t>
      </w:r>
    </w:p>
    <w:p w:rsidR="004465F1" w:rsidRPr="00F501F2" w:rsidRDefault="004465F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</w:pPr>
    </w:p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>Profil recherché :</w:t>
      </w:r>
    </w:p>
    <w:p w:rsidR="009D4C2B" w:rsidRPr="00F501F2" w:rsidRDefault="009D4C2B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</w:pPr>
    </w:p>
    <w:p w:rsidR="004465F1" w:rsidRPr="00F501F2" w:rsidRDefault="009D4C2B" w:rsidP="009D4C2B">
      <w:pPr>
        <w:pStyle w:val="Standard"/>
        <w:numPr>
          <w:ilvl w:val="0"/>
          <w:numId w:val="6"/>
        </w:numPr>
        <w:rPr>
          <w:rFonts w:ascii="Verdana" w:hAnsi="Verdana"/>
          <w:sz w:val="22"/>
          <w:szCs w:val="22"/>
          <w:lang w:val="fr-BE"/>
        </w:rPr>
      </w:pPr>
      <w:r w:rsidRPr="00F501F2">
        <w:rPr>
          <w:rFonts w:ascii="Verdana" w:hAnsi="Verdana"/>
          <w:sz w:val="22"/>
          <w:szCs w:val="22"/>
          <w:lang w:val="fr-BE"/>
        </w:rPr>
        <w:t xml:space="preserve">Bachelor  </w:t>
      </w:r>
    </w:p>
    <w:p w:rsidR="004465F1" w:rsidRPr="00F501F2" w:rsidRDefault="0082101F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Vous êtes bilingue français-né</w:t>
      </w:r>
      <w:r w:rsidR="00EB0B21"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erlandais de niveau minimum B2 dans chaque langue, avec une connaissance passiv</w:t>
      </w:r>
      <w:bookmarkStart w:id="0" w:name="_GoBack"/>
      <w:bookmarkEnd w:id="0"/>
      <w:r w:rsidR="00EB0B21"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e de l'anglais;</w:t>
      </w:r>
    </w:p>
    <w:p w:rsidR="004465F1" w:rsidRPr="00F501F2" w:rsidRDefault="00EB0B21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Vous avez de bonnes capacités de communication orale et écrite, au moins dans votre langue principale</w:t>
      </w:r>
    </w:p>
    <w:p w:rsidR="004465F1" w:rsidRPr="00F501F2" w:rsidRDefault="00EB0B21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Vous disposez de connaissances relatives aux politiques et aux systèmes de santé de manière générale, et tout au moins en Belgique ;</w:t>
      </w:r>
    </w:p>
    <w:p w:rsidR="004465F1" w:rsidRPr="00F501F2" w:rsidRDefault="00EB0B21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hAnsi="Verdana"/>
          <w:lang w:val="fr-BE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Vous possédez la capacité de travailler de façon autonome et de prendre des initiatives;</w:t>
      </w:r>
    </w:p>
    <w:p w:rsidR="004465F1" w:rsidRPr="00F501F2" w:rsidRDefault="00EB0B21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Vous aimez travailler en équipe et en étroite collaboration avec vos collègues;</w:t>
      </w:r>
    </w:p>
    <w:p w:rsidR="004465F1" w:rsidRPr="00F501F2" w:rsidRDefault="00EB0B21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Vous possédez des compétences de bases en informatique: Office, recherche en ligne, etc... Vous avez aussi des connaissances en Wordpress/Spip, ou vous êtes prêt.e à les acquérir;</w:t>
      </w:r>
    </w:p>
    <w:p w:rsidR="004465F1" w:rsidRPr="00F501F2" w:rsidRDefault="00EB0B21">
      <w:pPr>
        <w:pStyle w:val="Lijstalinea"/>
        <w:widowControl/>
        <w:numPr>
          <w:ilvl w:val="0"/>
          <w:numId w:val="4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Une précédente expérience dans le secteur non-marchand ou au sein de projets de santé publique et/ou de santé au travail est un atout important.</w:t>
      </w:r>
    </w:p>
    <w:p w:rsidR="004465F1" w:rsidRPr="00F501F2" w:rsidRDefault="004465F1">
      <w:pPr>
        <w:pStyle w:val="Standard"/>
        <w:rPr>
          <w:rFonts w:ascii="Verdana" w:hAnsi="Verdana"/>
          <w:sz w:val="22"/>
          <w:szCs w:val="22"/>
          <w:lang w:val="fr-BE"/>
        </w:rPr>
      </w:pPr>
    </w:p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>Conditions de l'emploi :</w:t>
      </w:r>
    </w:p>
    <w:p w:rsidR="004465F1" w:rsidRPr="00F501F2" w:rsidRDefault="00EB0B21">
      <w:pPr>
        <w:pStyle w:val="Lijstalinea"/>
        <w:widowControl/>
        <w:numPr>
          <w:ilvl w:val="0"/>
          <w:numId w:val="5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Entrée en fonction: 1er février 2020 ;</w:t>
      </w:r>
    </w:p>
    <w:p w:rsidR="004465F1" w:rsidRPr="00F501F2" w:rsidRDefault="00EB0B21">
      <w:pPr>
        <w:pStyle w:val="Lijstalinea"/>
        <w:widowControl/>
        <w:numPr>
          <w:ilvl w:val="0"/>
          <w:numId w:val="5"/>
        </w:numPr>
        <w:suppressAutoHyphens w:val="0"/>
        <w:spacing w:line="288" w:lineRule="auto"/>
        <w:jc w:val="both"/>
        <w:textAlignment w:val="auto"/>
        <w:rPr>
          <w:rFonts w:ascii="Verdana" w:hAnsi="Verdana"/>
          <w:lang w:val="fr-BE"/>
        </w:rPr>
      </w:pPr>
      <w:r w:rsidRPr="00F501F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Contrat à mi-temps à durée indéterminée.</w:t>
      </w:r>
    </w:p>
    <w:p w:rsidR="004465F1" w:rsidRPr="00F501F2" w:rsidRDefault="009D4C2B">
      <w:pPr>
        <w:pStyle w:val="Lijstalinea"/>
        <w:widowControl/>
        <w:numPr>
          <w:ilvl w:val="0"/>
          <w:numId w:val="5"/>
        </w:numPr>
        <w:suppressAutoHyphens w:val="0"/>
        <w:spacing w:line="288" w:lineRule="auto"/>
        <w:jc w:val="both"/>
        <w:textAlignment w:val="auto"/>
        <w:rPr>
          <w:rFonts w:ascii="Verdana" w:hAnsi="Verdana"/>
        </w:rPr>
      </w:pPr>
      <w:r w:rsidRPr="00F501F2">
        <w:rPr>
          <w:rFonts w:ascii="Verdana" w:hAnsi="Verdana"/>
        </w:rPr>
        <w:t>Barème: CP 330, echelle 1.55/1.61/1.77</w:t>
      </w:r>
    </w:p>
    <w:p w:rsidR="004465F1" w:rsidRPr="00F501F2" w:rsidRDefault="00EB0B21">
      <w:pPr>
        <w:pStyle w:val="Lijstalinea"/>
        <w:widowControl/>
        <w:numPr>
          <w:ilvl w:val="0"/>
          <w:numId w:val="5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Environnement de travail agréable, entouré par des organisations travaillant dans la solidarité;</w:t>
      </w:r>
    </w:p>
    <w:p w:rsidR="004465F1" w:rsidRPr="00F501F2" w:rsidRDefault="00EB0B21">
      <w:pPr>
        <w:pStyle w:val="Lijstalinea"/>
        <w:widowControl/>
        <w:numPr>
          <w:ilvl w:val="0"/>
          <w:numId w:val="5"/>
        </w:numPr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Outre le siège de la F</w:t>
      </w:r>
      <w:r w:rsidR="009D4C2B"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d</w:t>
      </w: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SS</w:t>
      </w:r>
      <w:r w:rsidR="009D4C2B"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B</w:t>
      </w: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, le lieu de travail principal se situe Chaussée de Haecht 53, 1210 Bruxelles (accessible à pied de la gare du Nord et du métro Botanique)</w:t>
      </w:r>
    </w:p>
    <w:p w:rsidR="004465F1" w:rsidRPr="00F501F2" w:rsidRDefault="004465F1">
      <w:pPr>
        <w:pStyle w:val="Standard"/>
        <w:rPr>
          <w:rFonts w:ascii="Verdana" w:hAnsi="Verdana"/>
          <w:sz w:val="22"/>
          <w:szCs w:val="22"/>
          <w:lang w:val="fr-BE"/>
        </w:rPr>
      </w:pPr>
    </w:p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/>
          <w:bCs/>
          <w:color w:val="000000"/>
          <w:kern w:val="0"/>
          <w:sz w:val="22"/>
          <w:szCs w:val="22"/>
          <w:lang w:val="fr-BE" w:eastAsia="en-US" w:bidi="ar-SA"/>
        </w:rPr>
        <w:t>Comment participer à la sélection?</w:t>
      </w:r>
    </w:p>
    <w:p w:rsidR="004465F1" w:rsidRPr="00F501F2" w:rsidRDefault="004465F1">
      <w:pPr>
        <w:pStyle w:val="Standard"/>
        <w:rPr>
          <w:rFonts w:ascii="Verdana" w:hAnsi="Verdana"/>
          <w:sz w:val="22"/>
          <w:szCs w:val="22"/>
          <w:lang w:val="fr-BE"/>
        </w:rPr>
      </w:pPr>
    </w:p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hAnsi="Verdana"/>
          <w:lang w:val="fr-BE"/>
        </w:rPr>
      </w:pPr>
      <w:r w:rsidRPr="00F501F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Veuillez envoyer votre lettre de m</w:t>
      </w:r>
      <w:r w:rsidR="00CF4A2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otivation et votre CV avant le 7</w:t>
      </w:r>
      <w:r w:rsidRPr="00F501F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 xml:space="preserve"> janvier minuit, </w:t>
      </w:r>
    </w:p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hAnsi="Verdana"/>
          <w:lang w:val="fr-BE"/>
        </w:rPr>
      </w:pPr>
      <w:r w:rsidRPr="00F501F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 xml:space="preserve">Par e-mail à </w:t>
      </w:r>
      <w:r w:rsidR="009D4C2B" w:rsidRPr="00F501F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l’</w:t>
      </w:r>
      <w:r w:rsidRPr="00F501F2">
        <w:rPr>
          <w:rStyle w:val="Standaardalinea-lettertype"/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 xml:space="preserve">adresse: </w:t>
      </w:r>
      <w:hyperlink r:id="rId7" w:history="1">
        <w:r w:rsidRPr="00F501F2">
          <w:rPr>
            <w:rStyle w:val="Standaardalinea-lettertype"/>
            <w:rFonts w:ascii="Verdana" w:hAnsi="Verdana"/>
            <w:sz w:val="22"/>
            <w:szCs w:val="22"/>
            <w:lang w:val="fr-BE"/>
          </w:rPr>
          <w:t>info@gezondheid-solidariteit.be</w:t>
        </w:r>
      </w:hyperlink>
      <w:r w:rsidR="009D4C2B" w:rsidRPr="00F501F2">
        <w:rPr>
          <w:rStyle w:val="Standaardalinea-lettertype"/>
          <w:rFonts w:ascii="Verdana" w:hAnsi="Verdana"/>
          <w:sz w:val="22"/>
          <w:szCs w:val="22"/>
          <w:lang w:val="fr-BE"/>
        </w:rPr>
        <w:t>.</w:t>
      </w:r>
      <w:r w:rsidRPr="00F501F2">
        <w:rPr>
          <w:rStyle w:val="Standaardalinea-lettertype"/>
          <w:rFonts w:ascii="Verdana" w:hAnsi="Verdana"/>
          <w:sz w:val="22"/>
          <w:szCs w:val="22"/>
          <w:lang w:val="fr-BE"/>
        </w:rPr>
        <w:t xml:space="preserve"> </w:t>
      </w:r>
    </w:p>
    <w:p w:rsidR="004465F1" w:rsidRPr="00F501F2" w:rsidRDefault="00EB0B2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</w:pPr>
      <w:r w:rsidRPr="00F501F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 xml:space="preserve">Les candidats invités à se présenter lors d’une interview seront avertis le 14 janvier au </w:t>
      </w:r>
      <w:r w:rsidRPr="00CF4A2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plus tard</w:t>
      </w:r>
      <w:r w:rsidR="00CF4A22">
        <w:rPr>
          <w:rFonts w:ascii="Verdana" w:eastAsia="Calibri" w:hAnsi="Verdana" w:cs="Luxi Sans"/>
          <w:bCs/>
          <w:color w:val="000000"/>
          <w:kern w:val="0"/>
          <w:sz w:val="22"/>
          <w:szCs w:val="22"/>
          <w:lang w:val="fr-BE" w:eastAsia="en-US" w:bidi="ar-SA"/>
        </w:rPr>
        <w:t>. Les entretiens auront lieu le vendredi 17 janvier après-midi.</w:t>
      </w:r>
    </w:p>
    <w:p w:rsidR="004465F1" w:rsidRPr="00F501F2" w:rsidRDefault="004465F1">
      <w:pPr>
        <w:pStyle w:val="Standaard"/>
        <w:widowControl/>
        <w:suppressAutoHyphens w:val="0"/>
        <w:spacing w:line="288" w:lineRule="auto"/>
        <w:jc w:val="both"/>
        <w:textAlignment w:val="auto"/>
        <w:rPr>
          <w:rFonts w:ascii="Verdana" w:hAnsi="Verdana"/>
          <w:sz w:val="22"/>
          <w:szCs w:val="22"/>
          <w:lang w:val="fr-BE"/>
        </w:rPr>
      </w:pPr>
    </w:p>
    <w:sectPr w:rsidR="004465F1" w:rsidRPr="00F501F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CB" w:rsidRDefault="001201CB">
      <w:r>
        <w:separator/>
      </w:r>
    </w:p>
  </w:endnote>
  <w:endnote w:type="continuationSeparator" w:id="0">
    <w:p w:rsidR="001201CB" w:rsidRDefault="0012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xi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Liberation Sans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CB" w:rsidRDefault="001201CB">
      <w:r>
        <w:rPr>
          <w:color w:val="000000"/>
        </w:rPr>
        <w:separator/>
      </w:r>
    </w:p>
  </w:footnote>
  <w:footnote w:type="continuationSeparator" w:id="0">
    <w:p w:rsidR="001201CB" w:rsidRDefault="0012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32B7"/>
    <w:multiLevelType w:val="multilevel"/>
    <w:tmpl w:val="8564C88A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Luxi San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3C249A9"/>
    <w:multiLevelType w:val="multilevel"/>
    <w:tmpl w:val="16AC0F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52B76BF"/>
    <w:multiLevelType w:val="multilevel"/>
    <w:tmpl w:val="BDE697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5402387"/>
    <w:multiLevelType w:val="hybridMultilevel"/>
    <w:tmpl w:val="6C1E5A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44697"/>
    <w:multiLevelType w:val="multilevel"/>
    <w:tmpl w:val="C070436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2033A77"/>
    <w:multiLevelType w:val="multilevel"/>
    <w:tmpl w:val="6E90F488"/>
    <w:lvl w:ilvl="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1"/>
    <w:rsid w:val="001201CB"/>
    <w:rsid w:val="003455DB"/>
    <w:rsid w:val="004465F1"/>
    <w:rsid w:val="008164A2"/>
    <w:rsid w:val="0082101F"/>
    <w:rsid w:val="009D4C2B"/>
    <w:rsid w:val="00CF4A22"/>
    <w:rsid w:val="00DB048C"/>
    <w:rsid w:val="00EB0B21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DEDAE-CB3F-47EC-A3B6-EE34D232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ard">
    <w:name w:val="Standaard"/>
    <w:pPr>
      <w:suppressAutoHyphens/>
    </w:pPr>
  </w:style>
  <w:style w:type="character" w:customStyle="1" w:styleId="Standaardalinea-lettertype">
    <w:name w:val="Standaardalinea-lettertyp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jst">
    <w:name w:val="Lijst"/>
    <w:basedOn w:val="Textbody"/>
  </w:style>
  <w:style w:type="paragraph" w:customStyle="1" w:styleId="Bijschrift">
    <w:name w:val="Bijschrift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jstalinea">
    <w:name w:val="Lijstalinea"/>
    <w:basedOn w:val="Standard"/>
    <w:pPr>
      <w:ind w:left="720"/>
    </w:pPr>
  </w:style>
  <w:style w:type="paragraph" w:customStyle="1" w:styleId="Ballontekst">
    <w:name w:val="Ballontekst"/>
    <w:basedOn w:val="Standaard"/>
    <w:rPr>
      <w:rFonts w:ascii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6">
    <w:name w:val="ListLabel 6"/>
    <w:rPr>
      <w:rFonts w:cs="Luxi Sans"/>
    </w:rPr>
  </w:style>
  <w:style w:type="character" w:customStyle="1" w:styleId="ListLabel5">
    <w:name w:val="ListLabel 5"/>
    <w:rPr>
      <w:rFonts w:cs="Courier New"/>
    </w:rPr>
  </w:style>
  <w:style w:type="character" w:customStyle="1" w:styleId="BallontekstChar">
    <w:name w:val="Ballontekst Char"/>
    <w:basedOn w:val="Standaardalinea-lettertype"/>
    <w:rPr>
      <w:rFonts w:ascii="Segoe UI" w:hAnsi="Segoe UI" w:cs="Mangal"/>
      <w:sz w:val="18"/>
      <w:szCs w:val="16"/>
    </w:rPr>
  </w:style>
  <w:style w:type="paragraph" w:styleId="Paragraphedeliste">
    <w:name w:val="List Paragraph"/>
    <w:basedOn w:val="Normal"/>
    <w:pPr>
      <w:widowControl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fr-BE" w:eastAsia="en-US" w:bidi="ar-SA"/>
    </w:rPr>
  </w:style>
  <w:style w:type="numbering" w:customStyle="1" w:styleId="WWNum12">
    <w:name w:val="WWNum12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zondheid-solidaritei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des Maisons Médicales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Ben Chekroun</dc:creator>
  <cp:lastModifiedBy>Sugero, Maria</cp:lastModifiedBy>
  <cp:revision>2</cp:revision>
  <cp:lastPrinted>2017-03-09T17:07:00Z</cp:lastPrinted>
  <dcterms:created xsi:type="dcterms:W3CDTF">2019-12-16T08:57:00Z</dcterms:created>
  <dcterms:modified xsi:type="dcterms:W3CDTF">2019-12-16T08:57:00Z</dcterms:modified>
</cp:coreProperties>
</file>